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7030a0" w:space="1" w:sz="4" w:val="single"/>
          <w:left w:color="7030a0" w:space="4" w:sz="4" w:val="single"/>
          <w:bottom w:color="7030a0" w:space="1" w:sz="4" w:val="single"/>
          <w:right w:color="7030a0" w:space="4" w:sz="4" w:val="single"/>
        </w:pBdr>
        <w:spacing w:after="120" w:before="120" w:lineRule="auto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/>
        <w:drawing>
          <wp:inline distB="0" distT="0" distL="114300" distR="114300">
            <wp:extent cx="1786255" cy="127063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6255" cy="12706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360" w:lineRule="auto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360" w:lineRule="auto"/>
        <w:rPr>
          <w:rFonts w:ascii="Arial" w:cs="Arial" w:eastAsia="Arial" w:hAnsi="Arial"/>
          <w:b w:val="1"/>
          <w:i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08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Staff,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assistants, volunteers and students' policy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spacing w:after="120" w:before="120" w:line="360" w:lineRule="auto"/>
        <w:rPr>
          <w:b w:val="0"/>
          <w:sz w:val="22"/>
          <w:szCs w:val="22"/>
        </w:rPr>
      </w:pPr>
      <w:r w:rsidDel="00000000" w:rsidR="00000000" w:rsidRPr="00000000">
        <w:rPr>
          <w:b w:val="0"/>
          <w:sz w:val="22"/>
          <w:szCs w:val="22"/>
          <w:rtl w:val="0"/>
        </w:rPr>
        <w:t xml:space="preserve">Alongside associated procedures in 08.1-08.4 Staff, volunteers and students, this policy was adopted by </w:t>
      </w:r>
      <w:r w:rsidDel="00000000" w:rsidR="00000000" w:rsidRPr="00000000">
        <w:rPr>
          <w:b w:val="0"/>
          <w:i w:val="1"/>
          <w:sz w:val="22"/>
          <w:szCs w:val="22"/>
          <w:rtl w:val="0"/>
        </w:rPr>
        <w:t xml:space="preserve">Early Explorers Community Pre-Schools</w:t>
      </w:r>
      <w:r w:rsidDel="00000000" w:rsidR="00000000" w:rsidRPr="00000000">
        <w:rPr>
          <w:b w:val="0"/>
          <w:sz w:val="22"/>
          <w:szCs w:val="22"/>
          <w:rtl w:val="0"/>
        </w:rPr>
        <w:t xml:space="preserve"> on </w:t>
      </w:r>
      <w:r w:rsidDel="00000000" w:rsidR="00000000" w:rsidRPr="00000000">
        <w:rPr>
          <w:b w:val="0"/>
          <w:i w:val="1"/>
          <w:sz w:val="22"/>
          <w:szCs w:val="22"/>
          <w:rtl w:val="0"/>
        </w:rPr>
        <w:t xml:space="preserve">15/09/2025</w:t>
      </w:r>
      <w:r w:rsidDel="00000000" w:rsidR="00000000" w:rsidRPr="00000000">
        <w:rPr>
          <w:b w:val="0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05">
      <w:pPr>
        <w:pStyle w:val="Heading1"/>
        <w:spacing w:after="120" w:before="12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Aim</w:t>
      </w:r>
    </w:p>
    <w:p w:rsidR="00000000" w:rsidDel="00000000" w:rsidP="00000000" w:rsidRDefault="00000000" w:rsidRPr="00000000" w14:paraId="00000006">
      <w:pPr>
        <w:spacing w:after="120" w:before="120"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Staff at Early Explorers Community Pre-Schools settings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are deployed to meet the care and learning needs of children and ensure their safety and well-being. There are effective systems in place to ensure that adults looking after children are suitable to do so.</w:t>
      </w:r>
    </w:p>
    <w:p w:rsidR="00000000" w:rsidDel="00000000" w:rsidP="00000000" w:rsidRDefault="00000000" w:rsidRPr="00000000" w14:paraId="00000007">
      <w:pPr>
        <w:pStyle w:val="Heading2"/>
        <w:spacing w:after="120" w:before="120" w:line="36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Objectives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Recruitment checks meet the requirements of the EYFS as stipulated in procedure 8.1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 staff and volunteers who work more than occasionally with the children have enhanced DBS disclosure checks. All staff and volunteers working with children have appropriate training, skills, and knowledge.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All staff, students and volunteers are deployed in accordance with the procedures.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There is a complaints procedure and staff, and volunteers know how to complain and who they complain to.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There is a whistleblowing procedure for all staff, students and volunteers to raise any concerns they may have.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Ofsted are notified of staff changes or changes to the setting’s name or address.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Parents/carers are involved with their children’s learning and their views are considered.</w:t>
      </w:r>
    </w:p>
    <w:p w:rsidR="00000000" w:rsidDel="00000000" w:rsidP="00000000" w:rsidRDefault="00000000" w:rsidRPr="00000000" w14:paraId="0000000F">
      <w:pPr>
        <w:pStyle w:val="Heading4"/>
        <w:spacing w:after="120" w:before="120" w:line="360" w:lineRule="auto"/>
        <w:rPr>
          <w:rFonts w:ascii="Arial" w:cs="Arial" w:eastAsia="Arial" w:hAnsi="Arial"/>
          <w:i w:val="0"/>
          <w:color w:val="000000"/>
        </w:rPr>
      </w:pPr>
      <w:r w:rsidDel="00000000" w:rsidR="00000000" w:rsidRPr="00000000">
        <w:rPr>
          <w:rFonts w:ascii="Arial" w:cs="Arial" w:eastAsia="Arial" w:hAnsi="Arial"/>
          <w:i w:val="0"/>
          <w:color w:val="000000"/>
          <w:rtl w:val="0"/>
        </w:rPr>
        <w:t xml:space="preserve">Legal references</w:t>
      </w:r>
    </w:p>
    <w:p w:rsidR="00000000" w:rsidDel="00000000" w:rsidP="00000000" w:rsidRDefault="00000000" w:rsidRPr="00000000" w14:paraId="00000010">
      <w:pPr>
        <w:pStyle w:val="Heading1"/>
        <w:spacing w:after="120" w:before="120" w:line="360" w:lineRule="auto"/>
        <w:rPr>
          <w:b w:val="0"/>
          <w:sz w:val="22"/>
          <w:szCs w:val="22"/>
        </w:rPr>
      </w:pPr>
      <w:r w:rsidDel="00000000" w:rsidR="00000000" w:rsidRPr="00000000">
        <w:rPr>
          <w:b w:val="0"/>
          <w:sz w:val="22"/>
          <w:szCs w:val="22"/>
          <w:rtl w:val="0"/>
        </w:rPr>
        <w:t xml:space="preserve">Protection of Children Act 1999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13"/>
          <w:tab w:val="right" w:leader="none" w:pos="9026"/>
        </w:tabs>
        <w:spacing w:after="120" w:before="12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Safeguarding Vulnerable Groups Act 2006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13"/>
          <w:tab w:val="right" w:leader="none" w:pos="9026"/>
        </w:tabs>
        <w:spacing w:after="120" w:before="12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Childcare Act 2006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13"/>
          <w:tab w:val="right" w:leader="none" w:pos="9026"/>
        </w:tabs>
        <w:spacing w:after="120" w:before="120" w:line="36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Further guidance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13"/>
          <w:tab w:val="right" w:leader="none" w:pos="9026"/>
        </w:tabs>
        <w:spacing w:after="120" w:before="12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Recruiting Early Years Staff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(Alliance Publication)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13"/>
          <w:tab w:val="right" w:leader="none" w:pos="9026"/>
        </w:tabs>
        <w:spacing w:after="120" w:before="12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2"/>
          <w:szCs w:val="22"/>
          <w:u w:val="single"/>
          <w:shd w:fill="auto" w:val="clear"/>
          <w:vertAlign w:val="baseline"/>
        </w:rPr>
      </w:pPr>
      <w:hyperlink r:id="rId9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People Management in the Early Years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(Alliance Publication)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ab/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Policies &amp; Procedures templates for the EYFS 2025/26 (Early Years Alliance 2025)  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i w:val="1"/>
      <w:color w:val="243f6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9D08F3"/>
    <w:pPr>
      <w:keepNext w:val="1"/>
      <w:keepLines w:val="1"/>
      <w:spacing w:before="200"/>
      <w:outlineLvl w:val="8"/>
    </w:pPr>
    <w:rPr>
      <w:rFonts w:ascii="Cambria" w:hAnsi="Cambria"/>
      <w:i w:val="1"/>
      <w:iCs w:val="1"/>
      <w:color w:val="404040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rsid w:val="00AC7BC8"/>
    <w:rPr>
      <w:rFonts w:eastAsia="Times New Roman"/>
      <w:b w:val="1"/>
      <w:bCs w:val="1"/>
      <w:kern w:val="32"/>
      <w:sz w:val="32"/>
      <w:szCs w:val="32"/>
    </w:rPr>
  </w:style>
  <w:style w:type="character" w:styleId="Hyperlink">
    <w:name w:val="Hyperlink"/>
    <w:basedOn w:val="DefaultParagraphFont"/>
    <w:semiHidden w:val="1"/>
    <w:rsid w:val="00AC7BC8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unhideWhenUsed w:val="1"/>
    <w:rsid w:val="00AC7BC8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C7BC8"/>
    <w:rPr>
      <w:rFonts w:ascii="Times New Roman" w:cs="Times New Roman" w:eastAsia="Times New Roman" w:hAnsi="Times New Roman"/>
      <w:sz w:val="16"/>
      <w:szCs w:val="16"/>
    </w:rPr>
  </w:style>
  <w:style w:type="paragraph" w:styleId="ListParagraph">
    <w:name w:val="List Paragraph"/>
    <w:basedOn w:val="Normal"/>
    <w:uiPriority w:val="34"/>
    <w:qFormat w:val="1"/>
    <w:rsid w:val="00AC7BC8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E07382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07382"/>
    <w:rPr>
      <w:rFonts w:ascii="Times New Roman" w:cs="Times New Roman" w:eastAsia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 w:val="1"/>
    <w:rsid w:val="00E07382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07382"/>
    <w:rPr>
      <w:rFonts w:ascii="Times New Roman" w:cs="Times New Roman" w:eastAsia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E07382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E07382"/>
    <w:rPr>
      <w:rFonts w:ascii="Tahoma" w:cs="Tahoma" w:eastAsia="Times New Roman" w:hAnsi="Tahoma"/>
      <w:sz w:val="16"/>
      <w:szCs w:val="16"/>
    </w:rPr>
  </w:style>
  <w:style w:type="character" w:styleId="Heading2Char" w:customStyle="1">
    <w:name w:val="Heading 2 Char"/>
    <w:basedOn w:val="DefaultParagraphFont"/>
    <w:link w:val="Heading2"/>
    <w:uiPriority w:val="9"/>
    <w:rsid w:val="009D08F3"/>
    <w:rPr>
      <w:rFonts w:ascii="Cambria" w:cs="Times New Roman" w:eastAsia="Times New Roman" w:hAnsi="Cambria"/>
      <w:b w:val="1"/>
      <w:bCs w:val="1"/>
      <w:color w:val="4f81bd"/>
      <w:sz w:val="26"/>
      <w:szCs w:val="26"/>
    </w:rPr>
  </w:style>
  <w:style w:type="character" w:styleId="Heading6Char" w:customStyle="1">
    <w:name w:val="Heading 6 Char"/>
    <w:basedOn w:val="DefaultParagraphFont"/>
    <w:link w:val="Heading6"/>
    <w:uiPriority w:val="9"/>
    <w:rsid w:val="009D08F3"/>
    <w:rPr>
      <w:rFonts w:ascii="Cambria" w:cs="Times New Roman" w:eastAsia="Times New Roman" w:hAnsi="Cambria"/>
      <w:i w:val="1"/>
      <w:iCs w:val="1"/>
      <w:color w:val="243f60"/>
      <w:sz w:val="24"/>
    </w:rPr>
  </w:style>
  <w:style w:type="character" w:styleId="Strong">
    <w:name w:val="Strong"/>
    <w:basedOn w:val="DefaultParagraphFont"/>
    <w:qFormat w:val="1"/>
    <w:rsid w:val="009D08F3"/>
    <w:rPr>
      <w:b w:val="1"/>
    </w:rPr>
  </w:style>
  <w:style w:type="character" w:styleId="Heading3Char" w:customStyle="1">
    <w:name w:val="Heading 3 Char"/>
    <w:basedOn w:val="DefaultParagraphFont"/>
    <w:link w:val="Heading3"/>
    <w:uiPriority w:val="9"/>
    <w:rsid w:val="009D08F3"/>
    <w:rPr>
      <w:rFonts w:ascii="Cambria" w:cs="Times New Roman" w:eastAsia="Times New Roman" w:hAnsi="Cambria"/>
      <w:b w:val="1"/>
      <w:bCs w:val="1"/>
      <w:color w:val="4f81bd"/>
      <w:sz w:val="24"/>
    </w:rPr>
  </w:style>
  <w:style w:type="paragraph" w:styleId="BodyText">
    <w:name w:val="Body Text"/>
    <w:basedOn w:val="Normal"/>
    <w:link w:val="BodyTextChar"/>
    <w:uiPriority w:val="99"/>
    <w:unhideWhenUsed w:val="1"/>
    <w:rsid w:val="009D08F3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9D08F3"/>
    <w:rPr>
      <w:rFonts w:ascii="Times New Roman" w:cs="Times New Roman" w:eastAsia="Times New Roman" w:hAnsi="Times New Roman"/>
      <w:sz w:val="24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9D08F3"/>
    <w:rPr>
      <w:rFonts w:ascii="Cambria" w:cs="Times New Roman" w:eastAsia="Times New Roman" w:hAnsi="Cambria"/>
      <w:b w:val="1"/>
      <w:bCs w:val="1"/>
      <w:i w:val="1"/>
      <w:iCs w:val="1"/>
      <w:color w:val="4f81bd"/>
      <w:sz w:val="24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9D08F3"/>
    <w:rPr>
      <w:rFonts w:ascii="Cambria" w:cs="Times New Roman" w:eastAsia="Times New Roman" w:hAnsi="Cambria"/>
      <w:i w:val="1"/>
      <w:iCs w:val="1"/>
      <w:color w:val="40404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 w:val="1"/>
    <w:unhideWhenUsed w:val="1"/>
    <w:rsid w:val="009D08F3"/>
    <w:pPr>
      <w:spacing w:after="120"/>
      <w:ind w:left="283"/>
    </w:pPr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 w:val="1"/>
    <w:rsid w:val="009D08F3"/>
    <w:rPr>
      <w:rFonts w:ascii="Times New Roman" w:cs="Times New Roman" w:eastAsia="Times New Roman" w:hAnsi="Times New Roman"/>
      <w:sz w:val="16"/>
      <w:szCs w:val="16"/>
    </w:rPr>
  </w:style>
  <w:style w:type="character" w:styleId="FootnoteReference">
    <w:name w:val="footnote reference"/>
    <w:rsid w:val="00BC011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C4CA0"/>
    <w:rPr>
      <w:rFonts w:ascii="Tahoma" w:hAnsi="Tahoma"/>
      <w:color w:val="000000"/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3C4CA0"/>
    <w:rPr>
      <w:rFonts w:ascii="Tahoma" w:cs="Times New Roman" w:eastAsia="Times New Roman" w:hAnsi="Tahoma"/>
      <w:color w:val="000000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D9553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C5446F"/>
    <w:rPr>
      <w:color w:val="605e5c"/>
      <w:shd w:color="auto" w:fill="e1dfdd" w:val="clear"/>
    </w:rPr>
  </w:style>
  <w:style w:type="paragraph" w:styleId="Revision">
    <w:name w:val="Revision"/>
    <w:hidden w:val="1"/>
    <w:uiPriority w:val="71"/>
    <w:semiHidden w:val="1"/>
    <w:rsid w:val="00C5446F"/>
    <w:rPr>
      <w:rFonts w:ascii="Times New Roman" w:cs="Times New Roman" w:eastAsia="Times New Roman" w:hAnsi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B37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B37851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B37851"/>
    <w:rPr>
      <w:rFonts w:ascii="Times New Roman" w:cs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B37851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B37851"/>
    <w:rPr>
      <w:rFonts w:ascii="Times New Roman" w:cs="Times New Roman" w:eastAsia="Times New Roman" w:hAnsi="Times New Roman"/>
      <w:b w:val="1"/>
      <w:bCs w:val="1"/>
      <w:lang w:eastAsia="en-US"/>
    </w:rPr>
  </w:style>
  <w:style w:type="table" w:styleId="TableGrid">
    <w:name w:val="Table Grid"/>
    <w:basedOn w:val="TableNormal"/>
    <w:uiPriority w:val="59"/>
    <w:rsid w:val="00287D9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entral.eyalliance.org.uk/ilp/pages/description.jsf?menuId=1106#/users/@self/catalogues/1700/courses/1685760/description" TargetMode="External"/><Relationship Id="rId15" Type="http://schemas.openxmlformats.org/officeDocument/2006/relationships/footer" Target="foot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central.eyalliance.org.uk/ilp/pages/description.jsf?menuId=1106#/users/@self/catalogues/1700/courses/908834/description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LDYgTgMIdij7fhWKNE/zfJY16A==">CgMxLjA4AHIhMW5HTEw3eG9idkw3dVB0NXJjZWxRaWFydU1rdEpILTUz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2024-01-31T10:28:00.0000000Z</dcterms:created>
  <dc:creator>halle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